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B4" w:rsidRPr="00CF0CF9" w:rsidRDefault="00E609B4" w:rsidP="00E609B4">
      <w:pPr>
        <w:spacing w:after="100" w:afterAutospacing="1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CF0CF9">
        <w:rPr>
          <w:rFonts w:ascii="仿宋" w:eastAsia="仿宋" w:hAnsi="仿宋" w:hint="eastAsia"/>
          <w:b/>
          <w:bCs/>
          <w:sz w:val="28"/>
          <w:szCs w:val="28"/>
        </w:rPr>
        <w:t>附件1：</w:t>
      </w:r>
      <w:bookmarkStart w:id="0" w:name="_GoBack"/>
      <w:bookmarkEnd w:id="0"/>
    </w:p>
    <w:p w:rsidR="00E609B4" w:rsidRDefault="00E609B4" w:rsidP="00E609B4">
      <w:pPr>
        <w:spacing w:after="100" w:afterAutospacing="1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内江师范学院</w:t>
      </w:r>
      <w:r>
        <w:rPr>
          <w:rFonts w:hint="eastAsia"/>
          <w:b/>
          <w:bCs/>
          <w:sz w:val="44"/>
          <w:szCs w:val="44"/>
        </w:rPr>
        <w:t>2018</w:t>
      </w:r>
      <w:r>
        <w:rPr>
          <w:rFonts w:hint="eastAsia"/>
          <w:b/>
          <w:bCs/>
          <w:sz w:val="44"/>
          <w:szCs w:val="44"/>
        </w:rPr>
        <w:t>年度大学生科研项目结题名单汇总表</w:t>
      </w:r>
    </w:p>
    <w:tbl>
      <w:tblPr>
        <w:tblW w:w="130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34"/>
        <w:gridCol w:w="1559"/>
        <w:gridCol w:w="1134"/>
        <w:gridCol w:w="4536"/>
        <w:gridCol w:w="1134"/>
        <w:gridCol w:w="1134"/>
        <w:gridCol w:w="1417"/>
      </w:tblGrid>
      <w:tr w:rsidR="00E609B4" w:rsidRPr="00101298" w:rsidTr="00E609B4">
        <w:trPr>
          <w:trHeight w:val="312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学 院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项目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成果形式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E609B4" w:rsidRPr="00101298" w:rsidTr="00E609B4">
        <w:trPr>
          <w:trHeight w:val="727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新闻</w:t>
            </w:r>
          </w:p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（8项）</w:t>
            </w:r>
          </w:p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分众化视角下的网络综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艺类型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何姝蓉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杜可琦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809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新媒介环境下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微博舆论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审判现象研究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田友琼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杜可琦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807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以《向往的生活第二季》为例探究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慢综艺成功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的原因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杜可琦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17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大数据时代下的信息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茧房效应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中日纪录片中的视听语言比较研究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杨荟钰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对比湖北枣阳太平镇与四川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宜宾龙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池乡的自然环境的现状和思考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康雪梅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刘丽娜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新媒体环境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下广告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对流行文化的影响和塑造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李艾玲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E609B4" w:rsidRPr="00101298" w:rsidTr="00E609B4">
        <w:trPr>
          <w:trHeight w:val="645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竞技体育文化传播的发展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邵晨阳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冯宇冰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社会调查报告</w:t>
            </w:r>
          </w:p>
        </w:tc>
      </w:tr>
      <w:tr w:rsidR="00E609B4" w:rsidRPr="00101298" w:rsidTr="00E609B4">
        <w:trPr>
          <w:trHeight w:val="692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文学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院（8项）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欧阳修《蝶恋花》杨柳之多维镜像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程秀惠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梁明玉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pacing w:val="15"/>
                <w:szCs w:val="21"/>
              </w:rPr>
              <w:t>凉山州</w:t>
            </w:r>
            <w:proofErr w:type="gramStart"/>
            <w:r w:rsidRPr="00101298">
              <w:rPr>
                <w:rFonts w:ascii="仿宋" w:eastAsia="仿宋" w:hAnsi="仿宋" w:hint="eastAsia"/>
                <w:spacing w:val="15"/>
                <w:szCs w:val="21"/>
              </w:rPr>
              <w:t>越西县推普</w:t>
            </w:r>
            <w:proofErr w:type="gramEnd"/>
            <w:r w:rsidRPr="00101298">
              <w:rPr>
                <w:rFonts w:ascii="仿宋" w:eastAsia="仿宋" w:hAnsi="仿宋" w:hint="eastAsia"/>
                <w:spacing w:val="15"/>
                <w:szCs w:val="21"/>
              </w:rPr>
              <w:t>障碍及应对路径研究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冯灵芝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生物科学类科幻小说对伦理道德的探究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王彭英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冯灵芝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14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内江古寺建筑</w:t>
            </w:r>
            <w:r w:rsidRPr="00101298">
              <w:rPr>
                <w:rFonts w:ascii="仿宋" w:eastAsia="仿宋" w:hAnsi="仿宋"/>
                <w:szCs w:val="21"/>
              </w:rPr>
              <w:t>及摩崖石刻</w:t>
            </w:r>
            <w:r w:rsidRPr="00101298">
              <w:rPr>
                <w:rFonts w:ascii="仿宋" w:eastAsia="仿宋" w:hAnsi="仿宋" w:hint="eastAsia"/>
                <w:szCs w:val="21"/>
              </w:rPr>
              <w:t>研究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陈晓跃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陈怡君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乌拉满族风俗文化考察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李林山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梁明玉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tabs>
                <w:tab w:val="left" w:pos="415"/>
              </w:tabs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古蜀祭祀文化内涵探究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陈友力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从义务敬老活动中得到对人口老龄化问题的思考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李祖清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18NSD-16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逋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《孤山八梅》中的审美意义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伍青芳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黄全彦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40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物电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（8项）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手机无线充电系统研究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钟晓娟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40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人工智能的应用探索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40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各向异性介质表面的反射和透射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王登辉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黎昌金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68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不同健康人手臂穴位电位分布比较研究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于思文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黎昌金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1048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基于无线传感网络的大气环境监测系统设计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罗媛媛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51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单层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石墨烯中载流子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自旋性质研究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谭川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王党朝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31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基于半导体制冷片的冷热式空调服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李威然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薛世华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4"/>
          <w:jc w:val="center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家庭环境监测报警器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薛世华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项目产品</w:t>
            </w:r>
          </w:p>
        </w:tc>
      </w:tr>
      <w:tr w:rsidR="00E609B4" w:rsidRPr="00101298" w:rsidTr="00E609B4">
        <w:trPr>
          <w:trHeight w:val="661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建工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（11项）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墙体表面平整度及光洁度的快速检验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谢丹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李建龙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58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高层建筑微变形快速感应系统研究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周雪梅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李建龙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8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水平度和垂直度精密测量仪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邓泽元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李建龙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45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网架结构的损伤检测方法和传感器优化布置研究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唐露望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李建龙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43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高强度高透水粉煤灰砌块的研究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赵瑞刚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285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多角度混杂纤维混凝土抗裂性能的对比研究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傅思静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赵恒</w:t>
            </w:r>
          </w:p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赵瑞刚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28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不同混凝土尺寸单轴压缩实验研究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李林峰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李朝君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4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基于矿渣+粉煤灰的路面透水砖性能研究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熊令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祝云华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1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隆昌石牌坊建筑结构与文化研究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卢舒奇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王照安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调查报告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装配率对工程项目投资的影响调查研究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李建龙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BIM在施工管理中的实际运用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詹雪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梁雪婷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5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化工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（3项）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柠檬渣荧光性能的研究及数学仿真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沈王庆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酶法</w:t>
            </w: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-</w:t>
            </w: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双水相提取菠萝蜜皮中色素及食品加工性能研究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杨琪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阮尚全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改性冰糖橙皮渣对</w:t>
            </w: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亚甲基蓝</w:t>
            </w: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染料的吸附性能研究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裴红梅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阮尚全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外国语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（12项）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“神形兼备”：汉语诗词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中叠词的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“等效”翻译——以李清照词《声声慢》的三种英译为例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杜中秋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顺句驱动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原则与顺译法的对比研究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徐小霞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黄建华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《高中英语课程标准》下提升“看（viewing）”的能力研究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蒋学敏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唐德斌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CSE视域下初中生英语能力调查报告——以内江为例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杨小会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唐德斌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CSE视域下中学生听说能力的提升策略研究——以内江一中为例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甘雪娇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唐德斌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“读后续写”对中学生英语写作能力影响分析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曾堰玲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2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体裁差异的“读后续写”对高中生英语写作能力提升的影响分析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竹雪川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文化视角下的广告翻译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沈柯岑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黄建华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中西文化差异对翻译的影响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李启梅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黄建华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机器翻译：人工翻译之完美助力—基于（CAT）翻译软件应用实例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李剑兰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阳卓胜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留守儿童英语学习调研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互联网+背景下的乡村生态旅游调查研究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曾乾辉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政管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（8项）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我国高校校园贷市场及其法律规制探究——以互联网为背景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李凤梅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陈发源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96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强化乡村法律信仰的路径研究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韩玲玲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肖平容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民众腐败容忍度的个体差异研究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李开琴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大学生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廉洁文化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宣传教育研究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李开琴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通过考察茂县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古羌城研究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羌族历史民俗文化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刘明钰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王建波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99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利用巴蜀传统文化资源优化当代四川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软实力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的路径探析——以剑门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关旅游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景区为例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王建波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96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从三星堆青铜人像探析古蜀人精神世界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汪小珍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肖应云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旅游零团费现象的法律规制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万静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蒲晓媛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经管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（12项）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自媒体时代提高学生会工作效率路径研究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蒋雪英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左宇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2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川南高原山区乡村旅游发展现状与对策—以攀枝花金家村为例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扎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西偏初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曹俊歆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2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浅谈如何提升学生会的管理能力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卞月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左宇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安岳柠檬经济研究分析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曹俊歆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6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格里坪镇村电子商务模式构建与推广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唐铃南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王顺民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论文或报告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“轻松帮”—家教互联信息平台搭建与实施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杨才华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王顺民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基于“趣学”团队的大学生创新创业实践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熊霜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王顺民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内江“美丽乡村”建设模式探索与实施路径研究—基于新型城镇化建设视角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杨占锋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论文或研究报告</w:t>
            </w:r>
          </w:p>
        </w:tc>
      </w:tr>
      <w:tr w:rsidR="00E609B4" w:rsidRPr="00101298" w:rsidTr="00E609B4">
        <w:trPr>
          <w:trHeight w:val="40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哲学社学科目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对高校营销现状的研究与分析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支宗梅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高泽龙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0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都江堰全域旅游发展研究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罗金梅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芮田生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论文、报告</w:t>
            </w:r>
          </w:p>
        </w:tc>
      </w:tr>
      <w:tr w:rsidR="00E609B4" w:rsidRPr="00101298" w:rsidTr="00E609B4">
        <w:trPr>
          <w:trHeight w:val="3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内江市乡村振兴发展情况调研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费梦涛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陈雅丽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8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当代大学生“佛系”现象调查研究—以内江师范学院为例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谭露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刘丽刚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01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计科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（9项）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互联网+智慧校园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高天宇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余文春、</w:t>
            </w:r>
          </w:p>
          <w:p w:rsidR="00E609B4" w:rsidRPr="00101298" w:rsidRDefault="00E609B4" w:rsidP="00033129">
            <w:pPr>
              <w:widowControl/>
              <w:ind w:firstLineChars="100" w:firstLine="21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何文孝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论文+项目成果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基于小程序上高校学生请批假设计与实现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张  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何文孝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论文+项目成果</w:t>
            </w:r>
          </w:p>
        </w:tc>
      </w:tr>
      <w:tr w:rsidR="00E609B4" w:rsidRPr="00101298" w:rsidTr="00E609B4">
        <w:trPr>
          <w:trHeight w:val="41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szCs w:val="21"/>
              </w:rPr>
              <w:t>微信请假</w:t>
            </w:r>
            <w:proofErr w:type="gramEnd"/>
            <w:r w:rsidRPr="00101298">
              <w:rPr>
                <w:rFonts w:ascii="仿宋" w:eastAsia="仿宋" w:hAnsi="仿宋" w:cs="宋体" w:hint="eastAsia"/>
                <w:szCs w:val="21"/>
              </w:rPr>
              <w:t>小助手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陈李秋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 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论文+项目成果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pacing w:val="15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pacing w:val="15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基于食谱的蔬菜外卖系统构建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刘冬婷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 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APP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pacing w:val="15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基于Android的新型“师生智能APP 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邓汇琳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张攀、张梦萍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APP</w:t>
            </w:r>
          </w:p>
        </w:tc>
      </w:tr>
      <w:tr w:rsidR="00E609B4" w:rsidRPr="00101298" w:rsidTr="00E609B4">
        <w:trPr>
          <w:trHeight w:val="2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Android自动化测试的研究与应用分析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杜晓倩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张利强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论文或调查报告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3D全息投影与生活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余小虎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王晓芸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2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基于实时视频处理的人脸识别考勤系统的可行性研究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张贵莲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余文春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5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区块链在生活中的应用研究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何小红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尹福成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3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体育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（9项）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内江市少儿足球运动开展的现状及对策研究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李洪兴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李才宝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高师体教篮球专项学生教学技能培训研究——以内江师范学院为例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kern w:val="0"/>
                <w:szCs w:val="21"/>
              </w:rPr>
              <w:t>肖云珂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曹巾章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top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四川省体育高考健美操专项内容及评价方法的研究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马传奇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9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内江市健身气功项目活动开展现状及对策研究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ind w:firstLineChars="100" w:firstLine="210"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贺晓兵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邢程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内江市网球运动发展现状调查研究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hint="eastAsia"/>
                <w:szCs w:val="21"/>
              </w:rPr>
              <w:t>刘灵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姜国雷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87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内江市青少年武术健身活动开展现状及对策研究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刘颖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邓艳梅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巴中市青少年体育活动现状调查研究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赵壮阔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关倩倩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 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中国武术进校园调查分析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刘双麟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吴保占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 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泸州市老年人健身活动开展现状及对策研究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跳跳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罗冬丽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2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张大千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美术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（11项）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隆昌石牌坊铭文研究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3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大千夏布手工艺品设计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王芮欣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张芳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工艺品，论文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《护》漫画创作研究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彭蓉蓉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作品</w:t>
            </w:r>
          </w:p>
        </w:tc>
      </w:tr>
      <w:tr w:rsidR="00E609B4" w:rsidRPr="00101298" w:rsidTr="00E609B4">
        <w:trPr>
          <w:trHeight w:val="57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《彩墨艺术在香绸扇上的应用》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邱慧敏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论文，手工艺品</w:t>
            </w:r>
          </w:p>
        </w:tc>
      </w:tr>
      <w:tr w:rsidR="00E609B4" w:rsidRPr="00101298" w:rsidTr="00E609B4">
        <w:trPr>
          <w:trHeight w:val="54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国家宝藏“太阳神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鸟金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箔”史迹漫画项目创作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作品</w:t>
            </w:r>
          </w:p>
        </w:tc>
      </w:tr>
      <w:tr w:rsidR="00E609B4" w:rsidRPr="00101298" w:rsidTr="00E609B4">
        <w:trPr>
          <w:trHeight w:val="55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内江市农村留守儿童的美术教育现状研究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都蕾宇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内江师范学院大学生校园</w:t>
            </w:r>
            <w:proofErr w:type="gramStart"/>
            <w:r w:rsidRPr="00101298">
              <w:rPr>
                <w:rFonts w:ascii="仿宋" w:eastAsia="仿宋" w:hAnsi="仿宋" w:hint="eastAsia"/>
                <w:szCs w:val="21"/>
              </w:rPr>
              <w:t>微商创业</w:t>
            </w:r>
            <w:proofErr w:type="gramEnd"/>
            <w:r w:rsidRPr="00101298">
              <w:rPr>
                <w:rFonts w:ascii="仿宋" w:eastAsia="仿宋" w:hAnsi="仿宋" w:hint="eastAsia"/>
                <w:szCs w:val="21"/>
              </w:rPr>
              <w:t>的现状及发展趋势研究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世勣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5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基于生活情景的多功能彩墨漫画相框设计（专利）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戚宇良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高登明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专利</w:t>
            </w:r>
          </w:p>
        </w:tc>
      </w:tr>
      <w:tr w:rsidR="00E609B4" w:rsidRPr="00101298" w:rsidTr="00E609B4">
        <w:trPr>
          <w:trHeight w:val="53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一种基于活性污泥法的污水处理系统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张婷婷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作品</w:t>
            </w:r>
          </w:p>
        </w:tc>
      </w:tr>
      <w:tr w:rsidR="00E609B4" w:rsidRPr="00101298" w:rsidTr="00E609B4">
        <w:trPr>
          <w:trHeight w:val="66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hint="eastAsia"/>
                <w:szCs w:val="21"/>
              </w:rPr>
              <w:t>一种座椅式宠物烘干机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李松韩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专利</w:t>
            </w:r>
          </w:p>
        </w:tc>
      </w:tr>
      <w:tr w:rsidR="00E609B4" w:rsidRPr="00101298" w:rsidTr="00E609B4">
        <w:trPr>
          <w:trHeight w:val="66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内江本土传说“白龙池与美女山”专利产品设计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高登明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专利</w:t>
            </w:r>
          </w:p>
        </w:tc>
      </w:tr>
      <w:tr w:rsidR="00E609B4" w:rsidRPr="00101298" w:rsidTr="00E609B4">
        <w:trPr>
          <w:trHeight w:val="379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E609B4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kern w:val="0"/>
                <w:szCs w:val="21"/>
              </w:rPr>
              <w:t>教科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kern w:val="0"/>
                <w:szCs w:val="21"/>
              </w:rPr>
              <w:t>（8项）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高学段小学生数学抽象思维能力现状的调查研究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付应美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龙海霞、杨超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57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大学生品性形成与家庭德育研究——以内江师范学院为例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吴若南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龙海霞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网络游戏与初中生学习参与动机相关性的调查研究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龙海霞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6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免费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师范生职前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师德培养研究——以内江师范学院为例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龙海霞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7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color w:val="000000"/>
                <w:szCs w:val="21"/>
              </w:rPr>
              <w:t>“线上作业”对初中生自我管理能力的影响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hint="eastAsia"/>
                <w:color w:val="000000"/>
                <w:szCs w:val="21"/>
              </w:rPr>
              <w:t>李林娱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季晓华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hint="eastAsia"/>
                <w:color w:val="000000"/>
                <w:szCs w:val="21"/>
              </w:rPr>
              <w:t>青少年“游学”教育现状及其问题研究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hint="eastAsia"/>
                <w:color w:val="000000"/>
                <w:szCs w:val="21"/>
              </w:rPr>
              <w:t>肖舒铭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季晓华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研究留守儿童家庭教育的现状与对策——以内江市苏家桥社区留守儿童为例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曹洁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艾小平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8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优秀教师叙事中的德育能力研究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向含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地资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（14项）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基于地理核心素养下近年来高考地理成绩反常的成因及对策------以内江市为例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李雪莲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王昌勇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0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“</w:t>
            </w: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新高考”改革对高中地理教学产生影响的研究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吴丹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王昌勇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5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浅析白鹤滩水电站对凉山州脱贫攻坚的助推作用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邓晴莲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邹红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四川省老年人生活现状调查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陈柏娜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李永飞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康定大渡河金谷流体包裹体研究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邓成雪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何阳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4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脱贫攻坚背景下西南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地区林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下经济模式对黑水县经济发展的启示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王茜月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艾大宾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重大地质灾害对区域经济的影响评价及恢复期预测——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以汶川地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震为例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雍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丽红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陈鹏宇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重大地质灾害对区域产业结构的影响评价—</w:t>
            </w:r>
            <w:proofErr w:type="gramStart"/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以汶川地</w:t>
            </w:r>
            <w:proofErr w:type="gramEnd"/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震为例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王立辉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陈鹏宇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5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攀枝花市地质灾害隐患的分部特征与成因分析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刘川南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陈鹏宇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基于休耕轮作模式下齐齐哈尔市土地质量可持续发展研究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王译玮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邹红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ind w:firstLineChars="300" w:firstLine="63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集中连片特困区人口分布及影响</w:t>
            </w: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因素</w:t>
            </w:r>
          </w:p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——以乌蒙山区为例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周凌云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郭金铭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27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四川省城市化水平与经济发展的耦合关系研究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蒋蕙如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古蔺县农村土地抛荒原因及对策分析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李秀芝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9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内江市小城镇规模分布空间演变特征及区位分析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徐仁贵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李宏芸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生科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（12项）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猴头菇菌丝体及其子实体收割小球藻的应用研究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张照锋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6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野生与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养殖宽体沙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鳅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的肠道微生态的研究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何思懿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史晋绒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人工养殖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鳅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科鱼类小瓜虫病的预防与治疗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严林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王永明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8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拮抗迟缓爱德华氏菌黄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颡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鱼肠道益生菌筛选及益生特性分析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苟印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8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颡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鱼抗菌肽β-</w:t>
            </w:r>
            <w:proofErr w:type="spell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defensin</w:t>
            </w:r>
            <w:proofErr w:type="spell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基因克隆及抗菌活性分析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76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反季节大闸蟹生态养殖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谭顺骋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贺扬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珍稀药用观赏植物-地涌金莲种苗规模化生产技术研究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汪星宇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肖小君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6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高蛋白白牛肝菌有机植料腐熟技术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幸元富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黎勇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国考背景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下师范专业及师范生应对教师资格证考试的模式及效果分析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陈发军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调查报告</w:t>
            </w:r>
          </w:p>
        </w:tc>
      </w:tr>
      <w:tr w:rsidR="00E609B4" w:rsidRPr="00101298" w:rsidTr="00E609B4">
        <w:trPr>
          <w:trHeight w:val="56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彝族风俗文化调查报告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贺扬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调查报告</w:t>
            </w:r>
          </w:p>
        </w:tc>
      </w:tr>
      <w:tr w:rsidR="00E609B4" w:rsidRPr="00101298" w:rsidTr="00E609B4">
        <w:trPr>
          <w:trHeight w:val="52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古蔺高笠村核桃经济作物调研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彭剑涛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3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科学发明类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室内植物墙外观设计研究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谢尚材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论文、设计图</w:t>
            </w:r>
          </w:p>
        </w:tc>
      </w:tr>
      <w:tr w:rsidR="00E609B4" w:rsidRPr="00101298" w:rsidTr="00E609B4">
        <w:trPr>
          <w:trHeight w:val="692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音乐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FF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（10项）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论川南地区川剧如何应对新媒体的挑战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李承音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柯达伊教学法在中小学音乐教学中的现状研究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任兴雪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浅析古筝基础教学在音乐启蒙中的应用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朱子璇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浅谈甘肃岷县花儿对民间音乐的影响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苟鑫蓉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张兆宇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3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托克托河口古镇锣鼓文化的研究与保护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张兆宇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现当代合唱在我国的应用与发展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冯楚珂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3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凉山地区彝族民歌研究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戴庆凤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周雅丽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8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浅谈农村音乐课堂发展状况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何丹梅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钟鸣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古蔺花灯的仪式表演初探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汪秋逸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中国古典舞气息运用的重要性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李江琼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雷莹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48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数信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（13项）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乡村振兴战略下农民教育的现状与对策研究---基于内江市的调查实证分析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宋西泠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郭云东</w:t>
            </w:r>
          </w:p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李达军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哲学社会科学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对股票价格的综合预测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李沁林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尹福成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E609B4" w:rsidRPr="00101298" w:rsidTr="00E609B4">
        <w:trPr>
          <w:trHeight w:val="430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比特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币货币</w:t>
            </w:r>
            <w:proofErr w:type="gramEnd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职能辨析及其风险防控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牟娟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0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基于q-ROFSs的多属性决策方法及应用研究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肖涵</w:t>
            </w: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膑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5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自然学科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利用熟悉不等式，巧解高考数学试题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胡富雅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赵思林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高考数学创新型试题的背景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赵思林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5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数学思想在高考数学试题中的运用研究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彭玉灵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赵思林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基于阈值分割的车牌定位识别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吴苹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赵思林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7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高温作业专用防热服装设计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梁骄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刘好斌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669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中考数学试题分类解析—函数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钟颖萱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刘程熙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52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图像处理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刘晓龙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多层热防护服装的建模设计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李媛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许生虎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论文</w:t>
            </w:r>
          </w:p>
        </w:tc>
      </w:tr>
      <w:tr w:rsidR="00E609B4" w:rsidRPr="00101298" w:rsidTr="00E609B4">
        <w:trPr>
          <w:trHeight w:val="312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E609B4" w:rsidRPr="00101298" w:rsidTr="00E609B4">
        <w:trPr>
          <w:trHeight w:val="541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18NSD-156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科技发明制作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一般项目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夹缝中求生存的盒子和架子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余小芬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B4" w:rsidRPr="00101298" w:rsidRDefault="00E609B4" w:rsidP="00033129">
            <w:pPr>
              <w:widowControl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012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实物或影像</w:t>
            </w:r>
          </w:p>
        </w:tc>
      </w:tr>
    </w:tbl>
    <w:p w:rsidR="00D70EA5" w:rsidRPr="00E609B4" w:rsidRDefault="00D70EA5" w:rsidP="00E609B4"/>
    <w:sectPr w:rsidR="00D70EA5" w:rsidRPr="00E609B4" w:rsidSect="00E609B4">
      <w:footerReference w:type="default" r:id="rId7"/>
      <w:pgSz w:w="16838" w:h="11906" w:orient="landscape"/>
      <w:pgMar w:top="1418" w:right="1440" w:bottom="1418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C9" w:rsidRDefault="008352C9" w:rsidP="00E609B4">
      <w:r>
        <w:separator/>
      </w:r>
    </w:p>
  </w:endnote>
  <w:endnote w:type="continuationSeparator" w:id="0">
    <w:p w:rsidR="008352C9" w:rsidRDefault="008352C9" w:rsidP="00E6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481818"/>
      <w:docPartObj>
        <w:docPartGallery w:val="Page Numbers (Bottom of Page)"/>
        <w:docPartUnique/>
      </w:docPartObj>
    </w:sdtPr>
    <w:sdtContent>
      <w:p w:rsidR="00E609B4" w:rsidRDefault="00E609B4" w:rsidP="00E609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09B4">
          <w:rPr>
            <w:noProof/>
            <w:lang w:val="zh-CN"/>
          </w:rPr>
          <w:t>1</w:t>
        </w:r>
        <w:r>
          <w:fldChar w:fldCharType="end"/>
        </w:r>
      </w:p>
    </w:sdtContent>
  </w:sdt>
  <w:p w:rsidR="00E609B4" w:rsidRDefault="00E609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C9" w:rsidRDefault="008352C9" w:rsidP="00E609B4">
      <w:r>
        <w:separator/>
      </w:r>
    </w:p>
  </w:footnote>
  <w:footnote w:type="continuationSeparator" w:id="0">
    <w:p w:rsidR="008352C9" w:rsidRDefault="008352C9" w:rsidP="00E60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67"/>
    <w:rsid w:val="003F4767"/>
    <w:rsid w:val="008352C9"/>
    <w:rsid w:val="00D70EA5"/>
    <w:rsid w:val="00E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3F476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F4767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character" w:customStyle="1" w:styleId="font71">
    <w:name w:val="font71"/>
    <w:rsid w:val="003F4767"/>
    <w:rPr>
      <w:rFonts w:ascii="Times New Roman" w:eastAsia="宋体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Char">
    <w:name w:val="页脚 Char"/>
    <w:link w:val="a3"/>
    <w:uiPriority w:val="99"/>
    <w:rsid w:val="003F4767"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rsid w:val="003F476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21">
    <w:name w:val="font121"/>
    <w:rsid w:val="003F4767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1">
    <w:name w:val="font111"/>
    <w:rsid w:val="003F4767"/>
    <w:rPr>
      <w:rFonts w:ascii="Times New Roman" w:eastAsia="宋体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71">
    <w:name w:val="font171"/>
    <w:rsid w:val="003F4767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181">
    <w:name w:val="font181"/>
    <w:rsid w:val="003F4767"/>
    <w:rPr>
      <w:rFonts w:ascii="Times New Roman" w:eastAsia="宋体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141">
    <w:name w:val="font141"/>
    <w:rsid w:val="003F476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3F476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4">
    <w:name w:val="header"/>
    <w:basedOn w:val="a"/>
    <w:link w:val="Char0"/>
    <w:qFormat/>
    <w:rsid w:val="003F47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3F4767"/>
    <w:rPr>
      <w:rFonts w:ascii="Times New Roman" w:eastAsia="宋体" w:hAnsi="Times New Roman" w:cs="Times New Roman"/>
      <w:sz w:val="18"/>
      <w:szCs w:val="20"/>
    </w:rPr>
  </w:style>
  <w:style w:type="paragraph" w:styleId="a3">
    <w:name w:val="footer"/>
    <w:basedOn w:val="a"/>
    <w:link w:val="Char"/>
    <w:uiPriority w:val="99"/>
    <w:unhideWhenUsed/>
    <w:rsid w:val="003F4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F4767"/>
    <w:rPr>
      <w:rFonts w:ascii="Times New Roman" w:eastAsia="宋体" w:hAnsi="Times New Roman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3F4767"/>
  </w:style>
  <w:style w:type="paragraph" w:styleId="a5">
    <w:name w:val="List Paragraph"/>
    <w:basedOn w:val="a"/>
    <w:uiPriority w:val="34"/>
    <w:qFormat/>
    <w:rsid w:val="003F4767"/>
    <w:pPr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F47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3F4767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F4767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F476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3F476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F4767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character" w:customStyle="1" w:styleId="font71">
    <w:name w:val="font71"/>
    <w:rsid w:val="003F4767"/>
    <w:rPr>
      <w:rFonts w:ascii="Times New Roman" w:eastAsia="宋体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Char">
    <w:name w:val="页脚 Char"/>
    <w:link w:val="a3"/>
    <w:uiPriority w:val="99"/>
    <w:rsid w:val="003F4767"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rsid w:val="003F476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21">
    <w:name w:val="font121"/>
    <w:rsid w:val="003F4767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1">
    <w:name w:val="font111"/>
    <w:rsid w:val="003F4767"/>
    <w:rPr>
      <w:rFonts w:ascii="Times New Roman" w:eastAsia="宋体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171">
    <w:name w:val="font171"/>
    <w:rsid w:val="003F4767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181">
    <w:name w:val="font181"/>
    <w:rsid w:val="003F4767"/>
    <w:rPr>
      <w:rFonts w:ascii="Times New Roman" w:eastAsia="宋体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141">
    <w:name w:val="font141"/>
    <w:rsid w:val="003F4767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3F476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4">
    <w:name w:val="header"/>
    <w:basedOn w:val="a"/>
    <w:link w:val="Char0"/>
    <w:qFormat/>
    <w:rsid w:val="003F47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3F4767"/>
    <w:rPr>
      <w:rFonts w:ascii="Times New Roman" w:eastAsia="宋体" w:hAnsi="Times New Roman" w:cs="Times New Roman"/>
      <w:sz w:val="18"/>
      <w:szCs w:val="20"/>
    </w:rPr>
  </w:style>
  <w:style w:type="paragraph" w:styleId="a3">
    <w:name w:val="footer"/>
    <w:basedOn w:val="a"/>
    <w:link w:val="Char"/>
    <w:uiPriority w:val="99"/>
    <w:unhideWhenUsed/>
    <w:rsid w:val="003F4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F4767"/>
    <w:rPr>
      <w:rFonts w:ascii="Times New Roman" w:eastAsia="宋体" w:hAnsi="Times New Roman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3F4767"/>
  </w:style>
  <w:style w:type="paragraph" w:styleId="a5">
    <w:name w:val="List Paragraph"/>
    <w:basedOn w:val="a"/>
    <w:uiPriority w:val="34"/>
    <w:qFormat/>
    <w:rsid w:val="003F4767"/>
    <w:pPr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F47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3F4767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F4767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F47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 Rui</dc:creator>
  <cp:lastModifiedBy>Mou Rui</cp:lastModifiedBy>
  <cp:revision>2</cp:revision>
  <dcterms:created xsi:type="dcterms:W3CDTF">2019-05-29T08:01:00Z</dcterms:created>
  <dcterms:modified xsi:type="dcterms:W3CDTF">2019-05-29T08:11:00Z</dcterms:modified>
</cp:coreProperties>
</file>